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в сфере информационных технологий</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/Демиденко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сфере информационных технологий»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«Маркетинг в сфере информационных технологий».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в сфере информационных технологий»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методики поиска, сбора и обработки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знать актуальные российские и зарубежные источники информации в сфере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применять методики поиска, сбора и обработки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уметь осуществлять критический анализ и синтез информации, полученной из разных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ИУК-1.6 уметь применять системный подход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ИУК-1.7 владеть методами поиска, сбора и обработки, критического анализа и синтеза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6.3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«Маркетинг в сфере информационных технологий»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Цифровая экономика</w:t>
            </w:r>
          </w:p>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Маркетинговая среда организации. Управление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Товарная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w:t>
            </w:r>
          </w:p>
          <w:p>
            <w:pPr>
              <w:jc w:val="left"/>
              <w:spacing w:after="0" w:line="240" w:lineRule="auto"/>
              <w:rPr>
                <w:sz w:val="24"/>
                <w:szCs w:val="24"/>
              </w:rPr>
            </w:pPr>
            <w:r>
              <w:rPr>
                <w:rFonts w:ascii="Times New Roman" w:hAnsi="Times New Roman" w:cs="Times New Roman"/>
                <w:b/>
                <w:color w:val="#000000"/>
                <w:sz w:val="24"/>
                <w:szCs w:val="24"/>
              </w:rPr>
              <w:t> продаж в области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Торговые посредники и их классификация, каналы распределения: уровни и типы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Торговые посредники и их классификация, каналы распределения: уровни и типы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Торговые посредники и их классификация, каналы распределения: уровни и типы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86.4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Индустрия ИТ в 1950-2000 годах. Три «великих скачка» - мейнфреймы S/360, IBM</w:t>
            </w:r>
          </w:p>
          <w:p>
            <w:pPr>
              <w:jc w:val="both"/>
              <w:spacing w:after="0" w:line="240" w:lineRule="auto"/>
              <w:rPr>
                <w:sz w:val="24"/>
                <w:szCs w:val="24"/>
              </w:rPr>
            </w:pPr>
            <w:r>
              <w:rPr>
                <w:rFonts w:ascii="Times New Roman" w:hAnsi="Times New Roman" w:cs="Times New Roman"/>
                <w:color w:val="#000000"/>
                <w:sz w:val="24"/>
                <w:szCs w:val="24"/>
              </w:rPr>
              <w:t> PC, Интернет. Сила стандартов: IBM PC vs. Apple, UNIX vs. Microsoft. Компании-лидеры</w:t>
            </w:r>
          </w:p>
          <w:p>
            <w:pPr>
              <w:jc w:val="both"/>
              <w:spacing w:after="0" w:line="240" w:lineRule="auto"/>
              <w:rPr>
                <w:sz w:val="24"/>
                <w:szCs w:val="24"/>
              </w:rPr>
            </w:pPr>
            <w:r>
              <w:rPr>
                <w:rFonts w:ascii="Times New Roman" w:hAnsi="Times New Roman" w:cs="Times New Roman"/>
                <w:color w:val="#000000"/>
                <w:sz w:val="24"/>
                <w:szCs w:val="24"/>
              </w:rPr>
              <w:t> и борьба с монополизацией: IBM, Wintel. Вертикальная интеграция и горизонтальный</w:t>
            </w:r>
          </w:p>
          <w:p>
            <w:pPr>
              <w:jc w:val="both"/>
              <w:spacing w:after="0" w:line="240" w:lineRule="auto"/>
              <w:rPr>
                <w:sz w:val="24"/>
                <w:szCs w:val="24"/>
              </w:rPr>
            </w:pPr>
            <w:r>
              <w:rPr>
                <w:rFonts w:ascii="Times New Roman" w:hAnsi="Times New Roman" w:cs="Times New Roman"/>
                <w:color w:val="#000000"/>
                <w:sz w:val="24"/>
                <w:szCs w:val="24"/>
              </w:rPr>
              <w:t> универсализм, переход к горизонтальной цепочке создания стоимости. Экономика</w:t>
            </w:r>
          </w:p>
          <w:p>
            <w:pPr>
              <w:jc w:val="both"/>
              <w:spacing w:after="0" w:line="240" w:lineRule="auto"/>
              <w:rPr>
                <w:sz w:val="24"/>
                <w:szCs w:val="24"/>
              </w:rPr>
            </w:pPr>
            <w:r>
              <w:rPr>
                <w:rFonts w:ascii="Times New Roman" w:hAnsi="Times New Roman" w:cs="Times New Roman"/>
                <w:color w:val="#000000"/>
                <w:sz w:val="24"/>
                <w:szCs w:val="24"/>
              </w:rPr>
              <w:t> ключевых ИТ-рынков.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маркетинговой информации и методы ее сбора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маркетинговой информации. Значение информации для фирмы. Источники информации. Первичные, вторичные данные. Инструментарий сбора информацииОсновные источники данных и информации, различных материалов, отчетов и</w:t>
            </w:r>
          </w:p>
          <w:p>
            <w:pPr>
              <w:jc w:val="both"/>
              <w:spacing w:after="0" w:line="240" w:lineRule="auto"/>
              <w:rPr>
                <w:sz w:val="24"/>
                <w:szCs w:val="24"/>
              </w:rPr>
            </w:pPr>
            <w:r>
              <w:rPr>
                <w:rFonts w:ascii="Times New Roman" w:hAnsi="Times New Roman" w:cs="Times New Roman"/>
                <w:color w:val="#000000"/>
                <w:sz w:val="24"/>
                <w:szCs w:val="24"/>
              </w:rPr>
              <w:t> прогнозов по рынку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методы сегментирования рынка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аналитического отчета о состоянии рынка. Сегментирование рынка. Выбор целевого сегмента рынка. Признаки и критерии сегментации.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Марка и марочная политика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Товарные марки. Брендинг в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товара и характеристика его стадий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товара на рынке. Организация управления товаром. Концепция жизненного цикла товара. Нововведения. Разработка нового товара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реализации продукции. Реклама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продаж. Методы стимулирования продаж</w:t>
            </w:r>
          </w:p>
          <w:p>
            <w:pPr>
              <w:jc w:val="both"/>
              <w:spacing w:after="0" w:line="240" w:lineRule="auto"/>
              <w:rPr>
                <w:sz w:val="24"/>
                <w:szCs w:val="24"/>
              </w:rPr>
            </w:pPr>
            <w:r>
              <w:rPr>
                <w:rFonts w:ascii="Times New Roman" w:hAnsi="Times New Roman" w:cs="Times New Roman"/>
                <w:color w:val="#000000"/>
                <w:sz w:val="24"/>
                <w:szCs w:val="24"/>
              </w:rPr>
              <w:t>  Планирование рекламной компании. Анализ эффективности рекламной компании. Реклама на месте продаж. Паблик рилейшинс и товарная пропаганда. Основные виды связи с общественностью. Имидж фирмы. Фирменный стиль.    Что такое решение? Целевая аудитория при продаже решений. Уровни деловых отношений.</w:t>
            </w:r>
          </w:p>
          <w:p>
            <w:pPr>
              <w:jc w:val="both"/>
              <w:spacing w:after="0" w:line="240" w:lineRule="auto"/>
              <w:rPr>
                <w:sz w:val="24"/>
                <w:szCs w:val="24"/>
              </w:rPr>
            </w:pPr>
            <w:r>
              <w:rPr>
                <w:rFonts w:ascii="Times New Roman" w:hAnsi="Times New Roman" w:cs="Times New Roman"/>
                <w:color w:val="#000000"/>
                <w:sz w:val="24"/>
                <w:szCs w:val="24"/>
              </w:rPr>
              <w:t> Участники процесса продажи. Этапы процесса. Основные документы процесса продажи.</w:t>
            </w:r>
          </w:p>
          <w:p>
            <w:pPr>
              <w:jc w:val="both"/>
              <w:spacing w:after="0" w:line="240" w:lineRule="auto"/>
              <w:rPr>
                <w:sz w:val="24"/>
                <w:szCs w:val="24"/>
              </w:rPr>
            </w:pPr>
            <w:r>
              <w:rPr>
                <w:rFonts w:ascii="Times New Roman" w:hAnsi="Times New Roman" w:cs="Times New Roman"/>
                <w:color w:val="#000000"/>
                <w:sz w:val="24"/>
                <w:szCs w:val="24"/>
              </w:rPr>
              <w:t> Варианты построения команды. Разбор различных решений в области ИТ: инфраструктурные и</w:t>
            </w:r>
          </w:p>
          <w:p>
            <w:pPr>
              <w:jc w:val="both"/>
              <w:spacing w:after="0" w:line="240" w:lineRule="auto"/>
              <w:rPr>
                <w:sz w:val="24"/>
                <w:szCs w:val="24"/>
              </w:rPr>
            </w:pPr>
            <w:r>
              <w:rPr>
                <w:rFonts w:ascii="Times New Roman" w:hAnsi="Times New Roman" w:cs="Times New Roman"/>
                <w:color w:val="#000000"/>
                <w:sz w:val="24"/>
                <w:szCs w:val="24"/>
              </w:rPr>
              <w:t> интеграционные, системы принятия решений (BI), системы управления ресурсами (ERP) системы</w:t>
            </w:r>
          </w:p>
          <w:p>
            <w:pPr>
              <w:jc w:val="both"/>
              <w:spacing w:after="0" w:line="240" w:lineRule="auto"/>
              <w:rPr>
                <w:sz w:val="24"/>
                <w:szCs w:val="24"/>
              </w:rPr>
            </w:pPr>
            <w:r>
              <w:rPr>
                <w:rFonts w:ascii="Times New Roman" w:hAnsi="Times New Roman" w:cs="Times New Roman"/>
                <w:color w:val="#000000"/>
                <w:sz w:val="24"/>
                <w:szCs w:val="24"/>
              </w:rPr>
              <w:t> работы с клиентами (CRM), системы коллективной работы и управления знаниями (IW), системы</w:t>
            </w:r>
          </w:p>
          <w:p>
            <w:pPr>
              <w:jc w:val="both"/>
              <w:spacing w:after="0" w:line="240" w:lineRule="auto"/>
              <w:rPr>
                <w:sz w:val="24"/>
                <w:szCs w:val="24"/>
              </w:rPr>
            </w:pPr>
            <w:r>
              <w:rPr>
                <w:rFonts w:ascii="Times New Roman" w:hAnsi="Times New Roman" w:cs="Times New Roman"/>
                <w:color w:val="#000000"/>
                <w:sz w:val="24"/>
                <w:szCs w:val="24"/>
              </w:rPr>
              <w:t> управления проектами (EPM). Инструментальные системы поддержки процессов продаж</w:t>
            </w:r>
          </w:p>
          <w:p>
            <w:pPr>
              <w:jc w:val="both"/>
              <w:spacing w:after="0" w:line="240" w:lineRule="auto"/>
              <w:rPr>
                <w:sz w:val="24"/>
                <w:szCs w:val="24"/>
              </w:rPr>
            </w:pPr>
            <w:r>
              <w:rPr>
                <w:rFonts w:ascii="Times New Roman" w:hAnsi="Times New Roman" w:cs="Times New Roman"/>
                <w:color w:val="#000000"/>
                <w:sz w:val="24"/>
                <w:szCs w:val="24"/>
              </w:rPr>
              <w:t> (CRM/Intra/extranet).</w:t>
            </w:r>
          </w:p>
          <w:p>
            <w:pPr>
              <w:jc w:val="both"/>
              <w:spacing w:after="0" w:line="240" w:lineRule="auto"/>
              <w:rPr>
                <w:sz w:val="24"/>
                <w:szCs w:val="24"/>
              </w:rPr>
            </w:pPr>
            <w:r>
              <w:rPr>
                <w:rFonts w:ascii="Times New Roman" w:hAnsi="Times New Roman" w:cs="Times New Roman"/>
                <w:color w:val="#000000"/>
                <w:sz w:val="24"/>
                <w:szCs w:val="24"/>
              </w:rPr>
              <w:t>  Особенности продажи решений:</w:t>
            </w:r>
          </w:p>
          <w:p>
            <w:pPr>
              <w:jc w:val="both"/>
              <w:spacing w:after="0" w:line="240" w:lineRule="auto"/>
              <w:rPr>
                <w:sz w:val="24"/>
                <w:szCs w:val="24"/>
              </w:rPr>
            </w:pPr>
            <w:r>
              <w:rPr>
                <w:rFonts w:ascii="Times New Roman" w:hAnsi="Times New Roman" w:cs="Times New Roman"/>
                <w:color w:val="#000000"/>
                <w:sz w:val="24"/>
                <w:szCs w:val="24"/>
              </w:rPr>
              <w:t> Продажа корпоративным заказчикам. Вариант наличия у заказчиков централизованной структуры принятия</w:t>
            </w:r>
          </w:p>
          <w:p>
            <w:pPr>
              <w:jc w:val="both"/>
              <w:spacing w:after="0" w:line="240" w:lineRule="auto"/>
              <w:rPr>
                <w:sz w:val="24"/>
                <w:szCs w:val="24"/>
              </w:rPr>
            </w:pPr>
            <w:r>
              <w:rPr>
                <w:rFonts w:ascii="Times New Roman" w:hAnsi="Times New Roman" w:cs="Times New Roman"/>
                <w:color w:val="#000000"/>
                <w:sz w:val="24"/>
                <w:szCs w:val="24"/>
              </w:rPr>
              <w:t> решений по информационным технологиям децентрализованного принятия решений на местах. Анализ цепи потребностей (Pain chain analysis). Конкурентные стратегии (Пять сил по Портеру).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Торговые посредники и их классификация, каналы распределения: уровни и типы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Товародвижение. Функции канала сбыта. Факторы, влияющие на товародвижение. Виды каналов сбыта. Многоуровневый канал сбыта. Взаимодействие участников канала сбыта.</w:t>
            </w:r>
          </w:p>
          <w:p>
            <w:pPr>
              <w:jc w:val="both"/>
              <w:spacing w:after="0" w:line="240" w:lineRule="auto"/>
              <w:rPr>
                <w:sz w:val="24"/>
                <w:szCs w:val="24"/>
              </w:rPr>
            </w:pPr>
            <w:r>
              <w:rPr>
                <w:rFonts w:ascii="Times New Roman" w:hAnsi="Times New Roman" w:cs="Times New Roman"/>
                <w:color w:val="#000000"/>
                <w:sz w:val="24"/>
                <w:szCs w:val="24"/>
              </w:rPr>
              <w:t> Формы краткосрочного стимулирования. Личные продажи. Этапы проведения личных продаж. Приемы продаж</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маркетинговой информации и методы ее сбора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Крупнейшие аналитические компании по рынку ИТ, их методы</w:t>
            </w:r>
          </w:p>
          <w:p>
            <w:pPr>
              <w:jc w:val="both"/>
              <w:spacing w:after="0" w:line="240" w:lineRule="auto"/>
              <w:rPr>
                <w:sz w:val="24"/>
                <w:szCs w:val="24"/>
              </w:rPr>
            </w:pPr>
            <w:r>
              <w:rPr>
                <w:rFonts w:ascii="Times New Roman" w:hAnsi="Times New Roman" w:cs="Times New Roman"/>
                <w:color w:val="#000000"/>
                <w:sz w:val="24"/>
                <w:szCs w:val="24"/>
              </w:rPr>
              <w:t> анализа (Gartner, IDC). Методы работы аналитических компаний по анализу российского</w:t>
            </w:r>
          </w:p>
          <w:p>
            <w:pPr>
              <w:jc w:val="both"/>
              <w:spacing w:after="0" w:line="240" w:lineRule="auto"/>
              <w:rPr>
                <w:sz w:val="24"/>
                <w:szCs w:val="24"/>
              </w:rPr>
            </w:pPr>
            <w:r>
              <w:rPr>
                <w:rFonts w:ascii="Times New Roman" w:hAnsi="Times New Roman" w:cs="Times New Roman"/>
                <w:color w:val="#000000"/>
                <w:sz w:val="24"/>
                <w:szCs w:val="24"/>
              </w:rPr>
              <w:t> рынка ИТ. Методики проведения анализа рынка ИТ.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методы сегментирования рынка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аналитического отчета о состоянии рынка. Сегментирование рынка. Выбор целевого сегмента рынка. Признаки и критерии сегментации.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Марка и марочная политика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Товарные марки. Брендинг в ИТ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товара и характеристика его стадий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товара на рынке. Организация управления товаром. Концепция жизненного цикла товара. Нововведения. Разработка нового товара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реализации продукции. Реклама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Продажи решений в среднем и малом бизнесе. Организация маркетинговых компаний по продвижению решений.Проведение презентаций.</w:t>
            </w:r>
          </w:p>
          <w:p>
            <w:pPr>
              <w:jc w:val="both"/>
              <w:spacing w:after="0" w:line="240" w:lineRule="auto"/>
              <w:rPr>
                <w:sz w:val="24"/>
                <w:szCs w:val="24"/>
              </w:rPr>
            </w:pPr>
            <w:r>
              <w:rPr>
                <w:rFonts w:ascii="Times New Roman" w:hAnsi="Times New Roman" w:cs="Times New Roman"/>
                <w:color w:val="#000000"/>
                <w:sz w:val="24"/>
                <w:szCs w:val="24"/>
              </w:rPr>
              <w:t> Взаимодействие отдела продаж с внутренними подразделениями компании в жизненном</w:t>
            </w:r>
          </w:p>
          <w:p>
            <w:pPr>
              <w:jc w:val="both"/>
              <w:spacing w:after="0" w:line="240" w:lineRule="auto"/>
              <w:rPr>
                <w:sz w:val="24"/>
                <w:szCs w:val="24"/>
              </w:rPr>
            </w:pPr>
            <w:r>
              <w:rPr>
                <w:rFonts w:ascii="Times New Roman" w:hAnsi="Times New Roman" w:cs="Times New Roman"/>
                <w:color w:val="#000000"/>
                <w:sz w:val="24"/>
                <w:szCs w:val="24"/>
              </w:rPr>
              <w:t> цикле продаж решений в соответствии с методикой. Системы мотивации в отделе продаж.</w:t>
            </w:r>
          </w:p>
          <w:p>
            <w:pPr>
              <w:jc w:val="both"/>
              <w:spacing w:after="0" w:line="240" w:lineRule="auto"/>
              <w:rPr>
                <w:sz w:val="24"/>
                <w:szCs w:val="24"/>
              </w:rPr>
            </w:pPr>
            <w:r>
              <w:rPr>
                <w:rFonts w:ascii="Times New Roman" w:hAnsi="Times New Roman" w:cs="Times New Roman"/>
                <w:color w:val="#000000"/>
                <w:sz w:val="24"/>
                <w:szCs w:val="24"/>
              </w:rPr>
              <w:t> Уровни квалификации продавцов и система разрядов. Приемы продаж. Техника «Воронка</w:t>
            </w:r>
          </w:p>
          <w:p>
            <w:pPr>
              <w:jc w:val="both"/>
              <w:spacing w:after="0" w:line="240" w:lineRule="auto"/>
              <w:rPr>
                <w:sz w:val="24"/>
                <w:szCs w:val="24"/>
              </w:rPr>
            </w:pPr>
            <w:r>
              <w:rPr>
                <w:rFonts w:ascii="Times New Roman" w:hAnsi="Times New Roman" w:cs="Times New Roman"/>
                <w:color w:val="#000000"/>
                <w:sz w:val="24"/>
                <w:szCs w:val="24"/>
              </w:rPr>
              <w:t> продаж». Ведение переговоров. Навыки и приемы эффективных продавцов. Подготовка</w:t>
            </w:r>
          </w:p>
          <w:p>
            <w:pPr>
              <w:jc w:val="both"/>
              <w:spacing w:after="0" w:line="240" w:lineRule="auto"/>
              <w:rPr>
                <w:sz w:val="24"/>
                <w:szCs w:val="24"/>
              </w:rPr>
            </w:pPr>
            <w:r>
              <w:rPr>
                <w:rFonts w:ascii="Times New Roman" w:hAnsi="Times New Roman" w:cs="Times New Roman"/>
                <w:color w:val="#000000"/>
                <w:sz w:val="24"/>
                <w:szCs w:val="24"/>
              </w:rPr>
              <w:t> Коммерческого предложения. Презентация решения. Техника эффективных презентаций.</w:t>
            </w:r>
          </w:p>
          <w:p>
            <w:pPr>
              <w:jc w:val="both"/>
              <w:spacing w:after="0" w:line="240" w:lineRule="auto"/>
              <w:rPr>
                <w:sz w:val="24"/>
                <w:szCs w:val="24"/>
              </w:rPr>
            </w:pPr>
            <w:r>
              <w:rPr>
                <w:rFonts w:ascii="Times New Roman" w:hAnsi="Times New Roman" w:cs="Times New Roman"/>
                <w:color w:val="#000000"/>
                <w:sz w:val="24"/>
                <w:szCs w:val="24"/>
              </w:rPr>
              <w:t> Критерии подбора специалистов в отделы продаж. Основные компетенции для продажи решений</w:t>
            </w:r>
          </w:p>
          <w:p>
            <w:pPr>
              <w:jc w:val="both"/>
              <w:spacing w:after="0" w:line="240" w:lineRule="auto"/>
              <w:rPr>
                <w:sz w:val="24"/>
                <w:szCs w:val="24"/>
              </w:rPr>
            </w:pPr>
            <w:r>
              <w:rPr>
                <w:rFonts w:ascii="Times New Roman" w:hAnsi="Times New Roman" w:cs="Times New Roman"/>
                <w:color w:val="#000000"/>
                <w:sz w:val="24"/>
                <w:szCs w:val="24"/>
              </w:rPr>
              <w:t> в области ИТ.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Торговые посредники и их классификация, каналы распределения: уровни и типы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чего нужны партнеры? Портрет партнера по продаже решений. Способы вовлечения</w:t>
            </w:r>
          </w:p>
          <w:p>
            <w:pPr>
              <w:jc w:val="both"/>
              <w:spacing w:after="0" w:line="240" w:lineRule="auto"/>
              <w:rPr>
                <w:sz w:val="24"/>
                <w:szCs w:val="24"/>
              </w:rPr>
            </w:pPr>
            <w:r>
              <w:rPr>
                <w:rFonts w:ascii="Times New Roman" w:hAnsi="Times New Roman" w:cs="Times New Roman"/>
                <w:color w:val="#000000"/>
                <w:sz w:val="24"/>
                <w:szCs w:val="24"/>
              </w:rPr>
              <w:t> партнеров. Методы стимулирования партнеров. Квалификация и компетенция поставщиков</w:t>
            </w:r>
          </w:p>
          <w:p>
            <w:pPr>
              <w:jc w:val="both"/>
              <w:spacing w:after="0" w:line="240" w:lineRule="auto"/>
              <w:rPr>
                <w:sz w:val="24"/>
                <w:szCs w:val="24"/>
              </w:rPr>
            </w:pPr>
            <w:r>
              <w:rPr>
                <w:rFonts w:ascii="Times New Roman" w:hAnsi="Times New Roman" w:cs="Times New Roman"/>
                <w:color w:val="#000000"/>
                <w:sz w:val="24"/>
                <w:szCs w:val="24"/>
              </w:rPr>
              <w:t> решений. Сегментация и выбор партнеров. Бизнес-план по решениям.</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в сфере информационных технологий» / Демиденко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http://www.iprbookshop.ru/71235.html</w:t>
            </w:r>
            <w:r>
              <w:rPr/>
              <w:t xml:space="preserve"> </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Азарова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https://urait.ru/bcode/432149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Интернет-маркетинг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Катаева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http://www.iprbookshop.ru/87414.html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http://www.iprbookshop.ru/79628.html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978-5-9275-1785-5.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http://www.iprbookshop.ru/78678.html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современных</w:t>
            </w:r>
            <w:r>
              <w:rPr/>
              <w:t xml:space="preserve"> </w:t>
            </w:r>
            <w:r>
              <w:rPr>
                <w:rFonts w:ascii="Times New Roman" w:hAnsi="Times New Roman" w:cs="Times New Roman"/>
                <w:color w:val="#000000"/>
                <w:sz w:val="24"/>
                <w:szCs w:val="24"/>
              </w:rPr>
              <w:t>ТНК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Сейфуллаева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978-5-9908699-0-5.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http://www.iprbookshop.ru/75329.html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Контент-маркетинг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Сенаторов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Никольский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Контент-маркетинг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978-5-9614-5526-7.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http://www.iprbookshop.ru/58557.html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Бердышев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978-5-394-03208-0.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Мобильный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зарядить</w:t>
            </w:r>
            <w:r>
              <w:rPr/>
              <w:t xml:space="preserve"> </w:t>
            </w:r>
            <w:r>
              <w:rPr>
                <w:rFonts w:ascii="Times New Roman" w:hAnsi="Times New Roman" w:cs="Times New Roman"/>
                <w:color w:val="#000000"/>
                <w:sz w:val="24"/>
                <w:szCs w:val="24"/>
              </w:rPr>
              <w:t>свой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мобильном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Бугаев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Мобильный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зарядить</w:t>
            </w:r>
            <w:r>
              <w:rPr/>
              <w:t xml:space="preserve"> </w:t>
            </w:r>
            <w:r>
              <w:rPr>
                <w:rFonts w:ascii="Times New Roman" w:hAnsi="Times New Roman" w:cs="Times New Roman"/>
                <w:color w:val="#000000"/>
                <w:sz w:val="24"/>
                <w:szCs w:val="24"/>
              </w:rPr>
              <w:t>свой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мобильном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978-5-9614-2222-1.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Телефонный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Продажи</w:t>
            </w:r>
            <w:r>
              <w:rPr/>
              <w:t xml:space="preserve"> </w:t>
            </w:r>
            <w:r>
              <w:rPr>
                <w:rFonts w:ascii="Times New Roman" w:hAnsi="Times New Roman" w:cs="Times New Roman"/>
                <w:color w:val="#000000"/>
                <w:sz w:val="24"/>
                <w:szCs w:val="24"/>
              </w:rPr>
              <w:t>не</w:t>
            </w:r>
            <w:r>
              <w:rPr/>
              <w:t xml:space="preserve"> </w:t>
            </w:r>
            <w:r>
              <w:rPr>
                <w:rFonts w:ascii="Times New Roman" w:hAnsi="Times New Roman" w:cs="Times New Roman"/>
                <w:color w:val="#000000"/>
                <w:sz w:val="24"/>
                <w:szCs w:val="24"/>
              </w:rPr>
              <w:t>выходя</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офиса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Есикова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Шарыпкина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978-5-394-01236-5.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http://www.iprbookshop.ru/75197.html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ситуационный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Якубова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978-5-9916-8568-9.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https://urait.ru/bcode/437137</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978-5-8149-2418-6.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http://www.iprbookshop.ru/78471.html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Информационно-аналитические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маркетинговых</w:t>
            </w:r>
            <w:r>
              <w:rPr/>
              <w:t xml:space="preserve"> </w:t>
            </w:r>
            <w:r>
              <w:rPr>
                <w:rFonts w:ascii="Times New Roman" w:hAnsi="Times New Roman" w:cs="Times New Roman"/>
                <w:color w:val="#000000"/>
                <w:sz w:val="24"/>
                <w:szCs w:val="24"/>
              </w:rPr>
              <w:t>исследованиях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сервиса,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978-5-93252-287-5.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http://www.iprbookshop.ru/18253.html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маркетингом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маркетингом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инфраструктура</w:t>
            </w:r>
            <w:r>
              <w:rPr/>
              <w:t xml:space="preserve"> </w:t>
            </w:r>
            <w:r>
              <w:rPr>
                <w:rFonts w:ascii="Times New Roman" w:hAnsi="Times New Roman" w:cs="Times New Roman"/>
                <w:color w:val="#000000"/>
                <w:sz w:val="24"/>
                <w:szCs w:val="24"/>
              </w:rPr>
              <w:t>рынка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978-5-282-03365-6.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http://www.iprbookshop.ru/31693.html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78.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99.7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2023-2024_ФГОС3++2023_Бак-ОФО-ПИ(23)_plx_Маркетинг в сфере информационных технологий</dc:title>
  <dc:creator>FastReport.NET</dc:creator>
</cp:coreProperties>
</file>